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129C7" w14:textId="77777777" w:rsidR="009B48A2" w:rsidRDefault="009B48A2" w:rsidP="009B48A2">
      <w:pPr>
        <w:jc w:val="both"/>
      </w:pPr>
    </w:p>
    <w:p w14:paraId="71A2A506" w14:textId="1F2DE083" w:rsidR="00A1556E" w:rsidRPr="009B48A2" w:rsidRDefault="009B48A2" w:rsidP="009B48A2">
      <w:pPr>
        <w:jc w:val="both"/>
      </w:pPr>
      <w:r>
        <w:t>SF/AAT</w:t>
      </w:r>
      <w:r>
        <w:t>/DRM</w:t>
      </w:r>
      <w:r>
        <w:t xml:space="preserve"> – Memorando </w:t>
      </w:r>
      <w:r w:rsidRPr="009B48A2">
        <w:t>n.</w:t>
      </w:r>
      <w:r w:rsidRPr="009B48A2">
        <w:t xml:space="preserve"> º </w:t>
      </w:r>
      <w:r>
        <w:t>89</w:t>
      </w:r>
      <w:r w:rsidRPr="009B48A2">
        <w:t>.</w:t>
      </w:r>
      <w:r>
        <w:t>730</w:t>
      </w:r>
      <w:r w:rsidRPr="009B48A2">
        <w:t>/202</w:t>
      </w:r>
      <w:r>
        <w:t>3</w:t>
      </w:r>
      <w:r w:rsidRPr="009B48A2">
        <w:t xml:space="preserve"> – Informa-se aos interessados que está disponível no</w:t>
      </w:r>
      <w:r>
        <w:t xml:space="preserve"> </w:t>
      </w:r>
      <w:r w:rsidRPr="009B48A2">
        <w:t>endereço</w:t>
      </w:r>
      <w:r>
        <w:t xml:space="preserve"> </w:t>
      </w:r>
      <w:r w:rsidRPr="009B48A2">
        <w:t>eletrônico:</w:t>
      </w:r>
      <w:r>
        <w:t xml:space="preserve"> </w:t>
      </w:r>
      <w:r w:rsidRPr="009B48A2">
        <w:t>https://www.pjf.mg.gov.br/secretarias/sf/simples_nacional/index.php</w:t>
      </w:r>
      <w:r>
        <w:t>,</w:t>
      </w:r>
      <w:r w:rsidRPr="009B48A2">
        <w:t xml:space="preserve"> a Instruç</w:t>
      </w:r>
      <w:r>
        <w:t>ão</w:t>
      </w:r>
      <w:r w:rsidRPr="009B48A2">
        <w:t xml:space="preserve"> Normativa: * Instrução Normativa </w:t>
      </w:r>
      <w:r>
        <w:t>SF/AAT/DRM</w:t>
      </w:r>
      <w:r w:rsidRPr="009B48A2">
        <w:t xml:space="preserve"> N.º 01</w:t>
      </w:r>
      <w:r>
        <w:t>/2023</w:t>
      </w:r>
      <w:r w:rsidRPr="009B48A2">
        <w:t xml:space="preserve"> - “</w:t>
      </w:r>
      <w:r>
        <w:t>Dispõe sobre a exclusão de ofício do Regime Especial Unificado de Arrecadação de Tributos e Contribuições devidos pelas Microempresas e Empresas de Pequeno Porte - Simples Nacional, e dá outras providências. A SECRETÁRIA MUNICIPAL DE FAZENDA, no uso de suas atribuições legais,</w:t>
      </w:r>
      <w:r>
        <w:t xml:space="preserve"> </w:t>
      </w:r>
      <w:r>
        <w:t>RESOLVE:</w:t>
      </w:r>
      <w:r>
        <w:t xml:space="preserve"> </w:t>
      </w:r>
      <w:r>
        <w:t>Art. 1º Disciplinar a exclusão de ofício do Regime Especial Unificado de Arrecadação de Tributos e Contribuições devidos pelas Microempresas (ME) e Empresas de Pequeno Porte (EPP) de que tratam o artigo 29, da Lei Complementar 123, de 14 de dezembro de 2006, e os artigos 83 e 84 da Resolução CGSN 140, de 22 de maio de 2018.</w:t>
      </w:r>
      <w:r>
        <w:t xml:space="preserve"> </w:t>
      </w:r>
      <w:r>
        <w:t>Art. 2º A exclusão de ofício das empresas optantes pelo Simples Nacional dar-se-á nas hipóteses previstas no art. 29 da Lei Complementar 123/2006.</w:t>
      </w:r>
      <w:r>
        <w:t xml:space="preserve"> </w:t>
      </w:r>
      <w:r>
        <w:t>Art. 3º Será expedido termo de exclusão do Simples Nacional para as empresas optantes pelo Simples Nacional que incorrerem nas hipóteses previstas no artigo 2º desta Instrução Normativa.</w:t>
      </w:r>
      <w:r>
        <w:t xml:space="preserve"> </w:t>
      </w:r>
      <w:r>
        <w:t>Art. 4º O interessado será notificado no termo de que trata o artigo 3º desta Instrução Normativa com a disponibilização do mesmo no Domicílio Tributário Eletrônico do Simples Nacional (DTE-SN), conforme dispõe o artigo 122 da Resolução CGSN 140/2018.</w:t>
      </w:r>
      <w:r>
        <w:t xml:space="preserve"> </w:t>
      </w:r>
      <w:r>
        <w:t>Art. 5º O interessado poderá impugnar a exclusão, no prazo de 30 dias, contado da ciência do termo, conforme dispõe o artigo 122 da Resolução CGSN 140/2018.</w:t>
      </w:r>
      <w:r>
        <w:t xml:space="preserve"> </w:t>
      </w:r>
      <w:r>
        <w:t>Art. 6º Do despacho de primeira instância caberá recurso no prazo de 30 dias, a contar da data da ciência ou intimação da decisão, ao autuado, reclamante, consulente ou requerente, nos termos dos artigos 218 e 219 da Lei Municipal 5.546, de 26 de dezembro 1978.</w:t>
      </w:r>
      <w:r>
        <w:t xml:space="preserve"> </w:t>
      </w:r>
      <w:r>
        <w:t>Art. 7º O interessado terá ciência das decisões por meio do Diário Oficial do Município, em acordo com os artigos 216 e 224 da Lei Municipal 5.546, de 26 de dezembro 1978.</w:t>
      </w:r>
      <w:r>
        <w:t xml:space="preserve"> </w:t>
      </w:r>
      <w:r>
        <w:t>Art. 8º O pedido de impugnação ou recurso deverá ser protocolado no Portal Prefeitura Ágil, instruído com os seguintes documentos: a) cópia do RG e CPF/CNPJ do interessado; b) procuração, com firma reconhecida, acompanhada dos documentos pessoais do procurador (cópia do RG e CPF), quando o signatário do requerimento for procurador;</w:t>
      </w:r>
      <w:r>
        <w:t xml:space="preserve"> </w:t>
      </w:r>
      <w:r>
        <w:t>c) cópia do instrumento de constituição e, se for o caso, suas alterações posteriores ou o instrumento de constituição consolidado, regularmente registrado no órgão competente;</w:t>
      </w:r>
      <w:r>
        <w:t xml:space="preserve"> </w:t>
      </w:r>
      <w:r>
        <w:t>d) outros documentos auxiliares na fundamentação do pedido.</w:t>
      </w:r>
      <w:r>
        <w:t xml:space="preserve"> </w:t>
      </w:r>
      <w:r>
        <w:t>Parágrafo único. A unidade competente da Secretaria Municipal de Fazenda responsável pela análise do pedido poderá, a seu critério, solicitar outros documentos ou esclarecimentos que julgar necessário.</w:t>
      </w:r>
      <w:r>
        <w:t xml:space="preserve"> </w:t>
      </w:r>
      <w:r>
        <w:t>Art. 9º Durante a análise da impugnação ou recurso, a empresa optante pelo Simples Nacional permanecerá nesse regime.</w:t>
      </w:r>
      <w:r>
        <w:t xml:space="preserve"> </w:t>
      </w:r>
      <w:r>
        <w:t>Art. 10. Os efeitos da exclusão de ofício da empresa optante pelo Simples Nacional se darão na conformidade do disposto no artigo 84 da Resolução CGSN 140/2018.</w:t>
      </w:r>
      <w:r>
        <w:t xml:space="preserve"> </w:t>
      </w:r>
      <w:r>
        <w:t>§ 1º A empresa excluída de ofício do Simples Nacional sujeitar-se-á, a partir do período em que se processarem os efeitos da exclusão, às normas de tributação aplicáveis às demais pessoas jurídicas.</w:t>
      </w:r>
      <w:r>
        <w:t xml:space="preserve"> </w:t>
      </w:r>
      <w:r>
        <w:t>§ 2º Para efeito do disposto no § 1º, a empresa excluída de ofício do Simples Nacional, ficará sujeita ao pagamento da totalidade ou diferença do respectivo imposto, na conformidade da legislação municipal.</w:t>
      </w:r>
      <w:r>
        <w:t xml:space="preserve"> </w:t>
      </w:r>
      <w:r>
        <w:t>Art. 11. A exclusão do Simples Nacional mediante comunicação da ME ou EPP está disciplinada na Resolução CGSN 140/2018.</w:t>
      </w:r>
      <w:r>
        <w:t xml:space="preserve"> </w:t>
      </w:r>
      <w:r>
        <w:t>Art. 12. Esta Instrução Normativa entrará em vigor na data de sua publicação.</w:t>
      </w:r>
      <w:r>
        <w:t>”</w:t>
      </w:r>
    </w:p>
    <w:sectPr w:rsidR="00A1556E" w:rsidRPr="009B48A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F6D7A" w14:textId="77777777" w:rsidR="0093587A" w:rsidRDefault="0093587A">
      <w:pPr>
        <w:spacing w:after="0" w:line="240" w:lineRule="auto"/>
      </w:pPr>
      <w:r>
        <w:separator/>
      </w:r>
    </w:p>
  </w:endnote>
  <w:endnote w:type="continuationSeparator" w:id="0">
    <w:p w14:paraId="06759285" w14:textId="77777777" w:rsidR="0093587A" w:rsidRDefault="0093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7502" w14:textId="77777777" w:rsidR="00A1556E" w:rsidRDefault="00A1556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cs="Calibri"/>
        <w:b/>
        <w:color w:val="000000"/>
        <w:sz w:val="20"/>
        <w:szCs w:val="20"/>
      </w:rPr>
    </w:pPr>
  </w:p>
  <w:p w14:paraId="5E2A8DCA" w14:textId="77777777" w:rsidR="00A1556E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Liberation Serif" w:eastAsia="Liberation Serif" w:hAnsi="Liberation Serif" w:cs="Liberation Serif"/>
        <w:color w:val="000000"/>
        <w:sz w:val="24"/>
        <w:szCs w:val="24"/>
      </w:rPr>
    </w:pPr>
    <w:r>
      <w:rPr>
        <w:rFonts w:cs="Calibri"/>
        <w:b/>
        <w:color w:val="000000"/>
        <w:sz w:val="20"/>
        <w:szCs w:val="20"/>
      </w:rPr>
      <w:t>Secretaria da Fazenda</w:t>
    </w:r>
  </w:p>
  <w:p w14:paraId="218E63D7" w14:textId="77777777" w:rsidR="00A1556E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Liberation Serif" w:eastAsia="Liberation Serif" w:hAnsi="Liberation Serif" w:cs="Liberation Serif"/>
        <w:color w:val="000000"/>
        <w:sz w:val="24"/>
        <w:szCs w:val="24"/>
      </w:rPr>
    </w:pPr>
    <w:r>
      <w:rPr>
        <w:rFonts w:cs="Calibri"/>
        <w:color w:val="000000"/>
        <w:sz w:val="20"/>
        <w:szCs w:val="20"/>
      </w:rPr>
      <w:t>Departamento de Assuntos Estratégicos e Execução de Despesas Judiciais</w:t>
    </w:r>
  </w:p>
  <w:p w14:paraId="6E98E055" w14:textId="77777777" w:rsidR="00A1556E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Liberation Serif" w:eastAsia="Liberation Serif" w:hAnsi="Liberation Serif" w:cs="Liberation Serif"/>
        <w:color w:val="000000"/>
        <w:sz w:val="24"/>
        <w:szCs w:val="24"/>
      </w:rPr>
    </w:pPr>
    <w:r>
      <w:rPr>
        <w:rFonts w:cs="Calibri"/>
        <w:color w:val="000000"/>
        <w:sz w:val="16"/>
        <w:szCs w:val="16"/>
      </w:rPr>
      <w:t xml:space="preserve">Av. Brasil, nº 2001, 3º andar, Centro, CEP: 36060-010, Juiz de Fora – MG, </w:t>
    </w:r>
    <w:proofErr w:type="spellStart"/>
    <w:r>
      <w:rPr>
        <w:rFonts w:cs="Calibri"/>
        <w:color w:val="000000"/>
        <w:sz w:val="16"/>
        <w:szCs w:val="16"/>
      </w:rPr>
      <w:t>Tel</w:t>
    </w:r>
    <w:proofErr w:type="spellEnd"/>
    <w:r>
      <w:rPr>
        <w:rFonts w:cs="Calibri"/>
        <w:color w:val="000000"/>
        <w:sz w:val="16"/>
        <w:szCs w:val="16"/>
      </w:rPr>
      <w:t>: (32) 3690-7251 - Fax: (320) 3690 -7103</w:t>
    </w:r>
  </w:p>
  <w:p w14:paraId="79E303AD" w14:textId="77777777" w:rsidR="00A1556E" w:rsidRDefault="00A155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33313" w14:textId="77777777" w:rsidR="0093587A" w:rsidRDefault="0093587A">
      <w:pPr>
        <w:spacing w:after="0" w:line="240" w:lineRule="auto"/>
      </w:pPr>
      <w:r>
        <w:separator/>
      </w:r>
    </w:p>
  </w:footnote>
  <w:footnote w:type="continuationSeparator" w:id="0">
    <w:p w14:paraId="538AFD92" w14:textId="77777777" w:rsidR="0093587A" w:rsidRDefault="00935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59FC7" w14:textId="77777777" w:rsidR="00A1556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w:drawing>
        <wp:inline distT="0" distB="0" distL="0" distR="0" wp14:anchorId="3C98E025" wp14:editId="4FDBB7A5">
          <wp:extent cx="2110740" cy="81534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411" t="-974" r="-411" b="-973"/>
                  <a:stretch>
                    <a:fillRect/>
                  </a:stretch>
                </pic:blipFill>
                <pic:spPr>
                  <a:xfrm>
                    <a:off x="0" y="0"/>
                    <a:ext cx="2110740" cy="815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6E"/>
    <w:rsid w:val="001F2069"/>
    <w:rsid w:val="0093587A"/>
    <w:rsid w:val="009B48A2"/>
    <w:rsid w:val="00A1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524D"/>
  <w15:docId w15:val="{E294ED00-5D00-4D64-8FD2-A0617EE2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3A3"/>
    <w:pPr>
      <w:suppressAutoHyphens/>
    </w:pPr>
    <w:rPr>
      <w:rFonts w:cs="Times New Roman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DE58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588E"/>
  </w:style>
  <w:style w:type="paragraph" w:styleId="Rodap">
    <w:name w:val="footer"/>
    <w:basedOn w:val="Normal"/>
    <w:link w:val="RodapChar"/>
    <w:uiPriority w:val="99"/>
    <w:unhideWhenUsed/>
    <w:rsid w:val="00DE58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588E"/>
  </w:style>
  <w:style w:type="paragraph" w:customStyle="1" w:styleId="LO-normal1">
    <w:name w:val="LO-normal1"/>
    <w:rsid w:val="00DE588E"/>
    <w:pPr>
      <w:suppressAutoHyphens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  <w:style w:type="character" w:customStyle="1" w:styleId="Fontepargpadro1">
    <w:name w:val="Fonte parág. padrão1"/>
    <w:rsid w:val="00DE588E"/>
  </w:style>
  <w:style w:type="paragraph" w:styleId="Corpodetexto">
    <w:name w:val="Body Text"/>
    <w:basedOn w:val="Normal"/>
    <w:link w:val="CorpodetextoChar"/>
    <w:rsid w:val="004063A3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4063A3"/>
    <w:rPr>
      <w:rFonts w:ascii="Calibri" w:eastAsia="Calibri" w:hAnsi="Calibri" w:cs="Times New Roman"/>
      <w:kern w:val="0"/>
      <w:lang w:eastAsia="zh-CN"/>
    </w:rPr>
  </w:style>
  <w:style w:type="paragraph" w:styleId="PargrafodaLista">
    <w:name w:val="List Paragraph"/>
    <w:basedOn w:val="Normal"/>
    <w:uiPriority w:val="34"/>
    <w:qFormat/>
    <w:rsid w:val="00F24618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9B48A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B4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VH1w6F/vbDeG9s7G2oQvsgBHvg==">CgMxLjA4AHIhMVNjRVFFSTNXNVY1RFVFeXR0MWZXWTNYUHp2aFRHbjVC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 Porcaro de Bretas</dc:creator>
  <cp:lastModifiedBy>Renan Porcaro de Bretas</cp:lastModifiedBy>
  <cp:revision>2</cp:revision>
  <dcterms:created xsi:type="dcterms:W3CDTF">2023-09-07T20:41:00Z</dcterms:created>
  <dcterms:modified xsi:type="dcterms:W3CDTF">2023-09-07T20:41:00Z</dcterms:modified>
</cp:coreProperties>
</file>