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F5878" w14:textId="49313269" w:rsidR="009A4CCF" w:rsidRDefault="009A4CCF" w:rsidP="009A4CCF">
      <w:pPr>
        <w:pStyle w:val="Standard"/>
        <w:spacing w:before="240" w:after="240" w:line="240" w:lineRule="auto"/>
        <w:jc w:val="center"/>
      </w:pPr>
      <w:r>
        <w:rPr>
          <w:b/>
        </w:rPr>
        <w:t xml:space="preserve">CHECKLIST: </w:t>
      </w:r>
      <w:r w:rsidRPr="00942EB5">
        <w:rPr>
          <w:b/>
          <w:u w:val="single"/>
        </w:rPr>
        <w:t>CONCORRÊNCIA</w:t>
      </w:r>
      <w:r>
        <w:rPr>
          <w:b/>
        </w:rPr>
        <w:t xml:space="preserve"> (BENS/SERVIÇOS ESPECIAIS E OBRAS/ENGENHARIA)</w:t>
      </w:r>
    </w:p>
    <w:p w14:paraId="2791B7EE" w14:textId="77777777" w:rsidR="009A4CCF" w:rsidRDefault="009A4CCF" w:rsidP="009A4CCF">
      <w:pPr>
        <w:pStyle w:val="Standard"/>
        <w:spacing w:before="240" w:line="240" w:lineRule="auto"/>
        <w:ind w:firstLine="1134"/>
      </w:pPr>
      <w:r>
        <w:t>A Concorrência é a modalidade para contratação de bens e serviços especiais, obras e serviços comuns e especiais de engenharia, admitindo diversos critérios de julgamento, nos moldes do art. 6º, XXXVIII e arts. 29 e 33 a 39 da Lei Federal nº 14.133/2021.</w:t>
      </w:r>
    </w:p>
    <w:p w14:paraId="1C49F21D" w14:textId="77777777" w:rsidR="009A4CCF" w:rsidRDefault="009A4CCF" w:rsidP="009A4CCF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4894"/>
        <w:gridCol w:w="1273"/>
        <w:gridCol w:w="1702"/>
      </w:tblGrid>
      <w:tr w:rsidR="009A4CCF" w14:paraId="6F3B4B73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BDA1568" w14:textId="77777777" w:rsidR="009A4CCF" w:rsidRPr="00DD6D48" w:rsidRDefault="009A4CCF" w:rsidP="005537BF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8740C93" w14:textId="77777777" w:rsidR="009A4CCF" w:rsidRPr="00DD6D48" w:rsidRDefault="009A4CCF" w:rsidP="005537BF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Título do Documento</w:t>
            </w:r>
          </w:p>
          <w:p w14:paraId="77133C6A" w14:textId="77777777" w:rsidR="009A4CCF" w:rsidRPr="00DD6D48" w:rsidRDefault="009A4CCF" w:rsidP="005537BF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801A69E" w14:textId="77777777" w:rsidR="009A4CCF" w:rsidRPr="00DD6D48" w:rsidRDefault="009A4CCF" w:rsidP="005537BF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261DBD5" w14:textId="77777777" w:rsidR="009A4CCF" w:rsidRPr="00DD6D48" w:rsidRDefault="009A4CCF" w:rsidP="005537BF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Observação / Despacho / Justificativa</w:t>
            </w:r>
          </w:p>
        </w:tc>
      </w:tr>
      <w:tr w:rsidR="009A4CCF" w14:paraId="52BDDC62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0CA6925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0309FB7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Documento de Formalização de Demanda  (DFD)</w:t>
            </w:r>
          </w:p>
          <w:p w14:paraId="646BD8D7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Justificativa fundamentada da necessidade pública, alinhamento ao PCA e indicação da equipe técnica competente (Art. 12, VII e art. 18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86A9424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4BC1D762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6670AE2E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BD703EA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1F1C12DB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8BC742A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0C163EC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Estudo Técnico Preliminar (ETP)</w:t>
            </w:r>
          </w:p>
          <w:p w14:paraId="26232775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Avaliação da necessidade, comparação de alternativas, viabilidade técnica, econômica, ambiental e justificativa do parcelamento ou não (Art. 18, § 1º e § 2º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DAD7B5D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736259AD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1F173936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8FA8DBB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45C87EEB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30C1FD2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32D80F9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Anteprojeto / Projeto Básico / Termo de Referência</w:t>
            </w:r>
          </w:p>
          <w:p w14:paraId="13B9A774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Elementos técnicos detalhados para caracterizar a obra ou serviço especial, orçamento discriminado em planilha e cronograma físico-financeiro (Art. 6º, XXIII ou XXV e art. 18,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459BC32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1195A6B4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35290761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20CF2BA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3F513D1E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7B9E3CD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1650590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Projeto Executivo (quando exigível)</w:t>
            </w:r>
          </w:p>
          <w:p w14:paraId="4B935A33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Conjunto de elementos necessários e suficientes à execução completa da obra (Art. 6º, XXVI e art. 18, § 3º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EF83E27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44754006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612608B5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B29027D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207A609A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AA27B38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65DEC96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Matriz de Riscos</w:t>
            </w:r>
          </w:p>
          <w:p w14:paraId="4C49F6C8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Mapeamento de riscos e, nas contratações de grande vulto ou regimes integrados, matriz de alocação de riscos obrigatória (Art. 18, X e art. 22 </w:t>
            </w:r>
            <w:r>
              <w:lastRenderedPageBreak/>
              <w:t>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C8D2AA7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lastRenderedPageBreak/>
              <w:t xml:space="preserve">[ ] Sim </w:t>
            </w:r>
          </w:p>
          <w:p w14:paraId="5EAA13E5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3DCA201E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E3EF645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3D63F57A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1D8BBE1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6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2AC689A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Planilha Orçamentária e Composição de BDI</w:t>
            </w:r>
          </w:p>
          <w:p w14:paraId="6B35A8D2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Demonstração detalhada de custos unitários de referência com base no Sinapi/Sicro ou pesquisa ampla e percentual justificado de BDI (Art. 23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49A6812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32971DAE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6A5A7D51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C8675DA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16F8C6D8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ECD1586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7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CBF851A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Declaração de Disponibilidade Orçamentária</w:t>
            </w:r>
          </w:p>
          <w:p w14:paraId="3A6224F7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Previsão orçamentária compatível e declaração de adequação com as leis orçamentárias (Art. 150 da Lei nº 14.133/2021 e LRF).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230EE7F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0A3A6504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7D420CFC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9F92B23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27BB237D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0F0F9E0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8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7AEE310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Minuta de Edital de Concorrência</w:t>
            </w:r>
          </w:p>
          <w:p w14:paraId="2B49AABD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Definição da modalidade, do critério de julgamento (menor preço, melhor técnica, técnica e preço, etc.), modo de disputa, exigências de qualificação técnica/operacional e prazos legais de divulgação (Art. 33 a 39, 55 e 67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427EAE7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4A6B7C61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188F74A0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279DA5E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9A4CCF" w14:paraId="2DEBE0C6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14D35FF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9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A1D4B56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Minuta do Termo de Contrato</w:t>
            </w:r>
          </w:p>
          <w:p w14:paraId="70DFD198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Cláusulas regulando regime de execução, medições, reajuste, retenções de garantia e penalidades (Art. 92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578ACA1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Sim </w:t>
            </w:r>
          </w:p>
          <w:p w14:paraId="1183726F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 xml:space="preserve">[ ] Não </w:t>
            </w:r>
          </w:p>
          <w:p w14:paraId="7AC9CCE9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  <w:r>
              <w:t>[ ]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AC6F684" w14:textId="77777777" w:rsidR="009A4CCF" w:rsidRDefault="009A4CCF" w:rsidP="005537BF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4D1AD5F5" w14:textId="77777777" w:rsidR="009A4CCF" w:rsidRDefault="009A4CCF" w:rsidP="009A4CCF">
      <w:pPr>
        <w:pStyle w:val="Standard"/>
        <w:spacing w:before="240" w:after="240" w:line="240" w:lineRule="auto"/>
        <w:jc w:val="left"/>
        <w:rPr>
          <w:b/>
        </w:rPr>
      </w:pPr>
    </w:p>
    <w:p w14:paraId="198F0387" w14:textId="77777777" w:rsidR="009A4CCF" w:rsidRDefault="009A4CCF" w:rsidP="009A4CCF">
      <w:pPr>
        <w:pStyle w:val="Standard"/>
        <w:spacing w:before="240" w:after="240" w:line="240" w:lineRule="auto"/>
        <w:jc w:val="left"/>
        <w:rPr>
          <w:b/>
        </w:rPr>
      </w:pPr>
    </w:p>
    <w:p w14:paraId="2A56E39C" w14:textId="77777777" w:rsidR="00C83012" w:rsidRDefault="00C83012"/>
    <w:sectPr w:rsidR="00C8301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715B2" w14:textId="77777777" w:rsidR="00A4663C" w:rsidRDefault="00A4663C" w:rsidP="00305A10">
      <w:r>
        <w:separator/>
      </w:r>
    </w:p>
  </w:endnote>
  <w:endnote w:type="continuationSeparator" w:id="0">
    <w:p w14:paraId="79E58017" w14:textId="77777777" w:rsidR="00A4663C" w:rsidRDefault="00A4663C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2203D" w14:textId="77777777" w:rsidR="00A4663C" w:rsidRDefault="00A4663C" w:rsidP="00305A10">
      <w:r>
        <w:separator/>
      </w:r>
    </w:p>
  </w:footnote>
  <w:footnote w:type="continuationSeparator" w:id="0">
    <w:p w14:paraId="0758E0A8" w14:textId="77777777" w:rsidR="00A4663C" w:rsidRDefault="00A4663C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0E70BB"/>
    <w:rsid w:val="00295397"/>
    <w:rsid w:val="00305A10"/>
    <w:rsid w:val="00561F77"/>
    <w:rsid w:val="009A4CCF"/>
    <w:rsid w:val="00A4663C"/>
    <w:rsid w:val="00B927A1"/>
    <w:rsid w:val="00C83012"/>
    <w:rsid w:val="00CD2903"/>
    <w:rsid w:val="00D36026"/>
    <w:rsid w:val="00E2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dcterms:created xsi:type="dcterms:W3CDTF">2026-08-21T20:37:00Z</dcterms:created>
  <dcterms:modified xsi:type="dcterms:W3CDTF">2026-08-21T20:37:00Z</dcterms:modified>
</cp:coreProperties>
</file>