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lineRule="auto" w:line="36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REGIMENTO INTERNO</w:t>
      </w:r>
    </w:p>
    <w:p>
      <w:pPr>
        <w:pStyle w:val="Corpodotexto"/>
        <w:spacing w:lineRule="auto" w:line="36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USO DO PARQUE NATURAL MUNICIPAL DA LAJINHA</w:t>
      </w:r>
    </w:p>
    <w:p>
      <w:pPr>
        <w:pStyle w:val="Corpodotext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br/>
        <w:tab/>
      </w:r>
      <w:r>
        <w:rPr>
          <w:rFonts w:eastAsia="Calibri" w:cs="" w:cstheme="minorBidi" w:eastAsiaTheme="minorHAnsi"/>
          <w:sz w:val="22"/>
          <w:szCs w:val="22"/>
        </w:rPr>
        <w:t xml:space="preserve">A </w:t>
      </w:r>
      <w:r>
        <w:rPr>
          <w:rFonts w:cs="" w:ascii="Times New Roman" w:hAnsi="Times New Roman" w:cstheme="minorBid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Secretaria de Sustentabilidade em Meio Ambiente e Atividades Urbanas - SESMAUR, no uso das atribuições que lhe são conferidas por Lei, e, CONSIDERANDO, a necessidade de disciplinar o uso do PARQUE NATURAL MUNICIPAL DA LAJINHA, bem como levando em consideração as características próprias deste logradouro público;</w:t>
      </w:r>
    </w:p>
    <w:p>
      <w:pPr>
        <w:pStyle w:val="Corpodotexto"/>
        <w:bidi w:val="0"/>
        <w:spacing w:lineRule="auto" w:line="360" w:before="0" w:after="200"/>
        <w:jc w:val="both"/>
        <w:rPr>
          <w:rFonts w:ascii="Times New Roman" w:hAnsi="Times New Roman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Corpodotexto"/>
        <w:bidi w:val="0"/>
        <w:spacing w:lineRule="auto" w:line="360" w:before="0" w:after="200"/>
        <w:jc w:val="both"/>
        <w:rPr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RESOLVE;</w:t>
      </w:r>
    </w:p>
    <w:p>
      <w:pPr>
        <w:pStyle w:val="Corpodotexto"/>
        <w:bidi w:val="0"/>
        <w:spacing w:lineRule="auto" w:line="360" w:before="0" w:after="20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ab/>
        <w:t xml:space="preserve">Adotar a REGULAMENTAÇÃO DE USO DO PARQUE NATURAL MUNICIPAL DA LAJINHA, anexada o presente Decreto n° 15.286/2022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 xml:space="preserve">que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Dispõe sobre o Parque da Lajinha, sua delimitação, altera sua denominação, o reconhece como Unidade de Conservação e dá outras providências;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Título I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Das Disposições Gerais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1º.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O presente Regimento interno estabelece normas de utilização por seus usuários, aplicáveis ao Parque Natural Municipal da Lajinha, bem de uso comum.</w:t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Título II</w:t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Do Funcionamento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2º.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O ingresso no Parque é aberto ao público de terça-feira a domingo, das 08:00 às 17:00</w:t>
      </w:r>
      <w:r>
        <w:rPr>
          <w:rFonts w:ascii="Times New Roman" w:hAnsi="Times New Roman"/>
          <w:b w:val="false"/>
          <w:caps w:val="false"/>
          <w:smallCaps w:val="false"/>
          <w:strike w:val="false"/>
          <w:dstrike w:val="false"/>
          <w:color w:val="CE181E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horas, podendo sofrer alterações, por ocasião de medidas emergenciais, além da realização de exposições, comemorações ou outros eventos, que justifiquem essas medidas.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Art. 3º.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Serão permitidas atividades ao ar livre tais como passeios, caminhadas, filmagens amadoras, fotografias amadoras e </w:t>
      </w:r>
      <w:r>
        <w:rPr>
          <w:rFonts w:cs="" w:ascii="Times New Roman" w:hAnsi="Times New Roman" w:cstheme="minorBidi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piqueniques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desde que se realizem sem perturbar o ambiente natural, sem desvirtuar as finalidades do Parque, e que estejam de acordo com o estabelecido no regimento interno.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ab/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Título III</w:t>
      </w:r>
    </w:p>
    <w:p>
      <w:pPr>
        <w:pStyle w:val="Corpodotexto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Dos Eventos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4º.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Não será permitido eventos particulares, salvos quando relacionados a ações e atividades de assuntos ambientais. 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Art. 5º.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Não será é permitido eventos como “Chá de Revelação de Crianças”, festas de aniversário, casamentos, shows, eventos de escolas e instituições que não contemplam o assunto ambiental.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/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6°.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Não é permitido uso de balões, confetes, bastões de papéis picados e/ou qualquer outro mecanismo que possa gerar sujeira e poluição ao ambiente. 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Parágrafo Único: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Entende-se como piquenique atividades familiares que contemplam a visitação ao ambiente natural, consistindo em uma refeição ao ar livre. </w:t>
      </w:r>
    </w:p>
    <w:p>
      <w:pPr>
        <w:pStyle w:val="Corpodotexto"/>
        <w:bidi w:val="0"/>
        <w:spacing w:lineRule="auto" w:line="360" w:before="0" w:after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Art. 7º.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Ensaios fotográficos deverão conter no máximo 20 pessoas, sendo proibido ações e atividades que causem danos ambientais.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 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8º.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Fora do horário de visitação, somente será permitido o ingresso no Parque: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 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autoridades civis e militares;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II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- servidores lotados na SESMAUR, permissionários de uso e contratados pela administração, desde que no desempenho de suas atribuições e funções mediante apresentação de credencial/autorização.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III 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expositores, organizadores de eventos ou seus contratados, que exerçam temporariamente no Parque atividades relacionadas à realização de mostras, festejos ou similares, mediante apresentação de credencial.</w:t>
      </w:r>
    </w:p>
    <w:p>
      <w:pPr>
        <w:pStyle w:val="Corpodotexto"/>
        <w:bidi w:val="0"/>
        <w:spacing w:lineRule="auto" w:line="36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9º.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É vedado o ingresso e circulação no Parque de automóveis particulares, ônibus, motocicletas, bicicletas e veículos motorizados similares, exceto quando autorizados pela administração.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ab/>
      </w:r>
    </w:p>
    <w:p>
      <w:pPr>
        <w:pStyle w:val="Corpodotexto"/>
        <w:bidi w:val="0"/>
        <w:spacing w:lineRule="auto" w:line="360" w:before="0" w:after="0"/>
        <w:jc w:val="both"/>
        <w:rPr/>
      </w:pPr>
      <w:bookmarkStart w:id="0" w:name="__DdeLink__165_1639985485"/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Parágrafo 1º: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 velocidade máxima para qualquer veículo autorizado a circular no interior do Parque, incluídos veículos não automotores, quando permitidos, será de 10(dez) Km/h.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Parágrafo 2º: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É vedado o uso de acessos, gramados e alamedas para estacionamento.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Título III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Das obrigações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10º.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Os visitantes, quando no interior do Parque, deverão: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I -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respeitar as determinações dos funcionários, monitores, guardas e vigias em serviço;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II 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observar comunicações e alertas constantes de placas indicativas existentes no Parque;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III 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cumprir e zelar para que sejam obedecidas integralmente as normas deste Regulamento;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IV 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comunicar imediatamente a Administração do Parque qualquer irregularidade observada;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 -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preservar a limpeza e conservação do Parque, bem como a flora e a fauna, depositando os detritos e resíduos sempre em recipientes específicos para a coleta de lixo.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Título IV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Das vedações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Art.11º.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No Interior do Parque é proibido: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 - trânsito ou passeio de animais domésticos, mesmo com gaiolas, caixas de transporte ou no interior de veículos, salvo cão-guia;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II - entrada, saída ou permanência de pessoas não autorizadas fora do horário de visitação;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III - ingresso e circulação no Parque de automóveis particulares, ônibus, motocicletas, bicicletas e veículos motorizados similares;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IV - estacionamento fora das áreas designadas para este fim;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 - consumo e comercialização de bebida alcoólica;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VI - entrada com garrafas, ferramentas, armas ou outros objetos que possam causar danos à Unidade de Conservação;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VII - coleta de água, despejo de resíduos, banhar-se ou nadar no lago ou cachoeira, lavar veículos automotores;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VIII - caça e pesca;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IX - transposição da cerca que contorna o Parque;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 - captura de animais silvestres, aves ou insetos;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XI - retirada ou coleta de folhas, flores, frutos ou quaisquer partes das plantas;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XII - corte de bambu ou quaisquer tipos de material lenhoso;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XIII - acender, conduzir ou colocar fogo no tronco das árvores, na grama, na mata ou em qualquer lugar;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XIV - jogar lixo em qualquer área do Parque, fora das lixeiras disponíveis;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XV - utilização de aparelhos ou caixas de som no interior do Parque;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XVI - prática de esportes coletivos com formação de times no Parque;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XVII - soltura de fogos de artifícios ou sinalizadores;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XVIII - promoção de eventos;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XIX - alimentação dos animais silvestres;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 - comércio;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XXI - prática de patinação, skate ou outra modalidade similar;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XXII - ciclismo, exceto recreação infantil;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XXIII - escalada ou danificação de árvores;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XXIV - soltura de pipas, uso de bumerangues, drones, ou outros objetos que ameacem a segurança; XXV - pichação, subtração ou danificação de bens municipais;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XXVI - prática de </w:t>
      </w:r>
      <w:bookmarkStart w:id="1" w:name="__DdeLink__389_2893437565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detectorismo</w:t>
      </w:r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XXVII - a montagem de barracas de acampamento, quiosques e similares sem autorização; XXVIII - realização de outras práticas esportivas ou recreativas, individuais ou em grupo, fora das áreas reservadas, que prejudiquem a vegetação do parque, o patrimônio histórico, que incomodem os demais usuários ou que ofereçam risco aos próprios praticantes;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XXIX - colocação e distribuição de anúncios (salvo casos permitidos por lei específica), escrever, gravar, pintar ou afixar panfletos nos monumentos, edificações, bebedouros e demais equipamentos; 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XXX - o desrespeito e/ou desacato às orientações e determinações dos funcionários da Administração do Parque e da Guarda Municipal. (Redação dada pelo Decreto nº 15283/2022) 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12º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. É proibido o abandono de animais domésticos e/ou silvestres no interior do Parque, incorrendo o infrator às penalidades previstas na lei de crimes ambientais.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Art.13º.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Para a pesquisa científica no interior da Unidade de Conservação, é necessário que o pesquisador preencha o formulário disponível no site </w:t>
      </w:r>
      <w:r>
        <w:rPr>
          <w:rFonts w:cs="" w:ascii="Times New Roman" w:hAnsi="Times New Roman" w:cstheme="minorBidi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>www.pjf.mg.gov.br</w:t>
      </w:r>
      <w:r>
        <w:rPr>
          <w:rFonts w:cs="" w:ascii="Times New Roman" w:hAnsi="Times New Roman" w:cstheme="minorBidi"/>
          <w:b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 xml:space="preserve"> </w:t>
      </w:r>
      <w:r>
        <w:rPr>
          <w:rFonts w:cs="" w:ascii="Times New Roman" w:hAnsi="Times New Roman" w:cstheme="minorBidi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 xml:space="preserve">(na plataforma Prefeitura Ágil) e anexe toda a documentação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pertinente.</w:t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Título V</w:t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Das Sanções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Art. 14º.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 fiscalização do cumprimento do presente regimento, deverá ser feita pela equipe do Parque, da Guarda Municipal Ambiental e pela fiscalização de posturas.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15º.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No caso do descumprimento das normas deste regimento, o infrator se sujeitará às penalidades previstas na legislação pertinente.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Art. 16º.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A Administração do Parque deverá fixar em local visível o regimento interno para uso do Parque.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Art. 17º.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As dúvidas ou casos omissos serão resolvidos pela SESMAUR, cabendo-lhe expedir as instruções, que se fizerem necessárias, através de Portaria, observadas as peculiaridades do Parque, as quais serão consideradas complementares e, como tal, integrantes do presente Regulamento.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 xml:space="preserve">Art. 18º.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>Este Regulamento entrará em vigor na data de sua publicação, e revogadas expressamente as disposições em contrário.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i w:val="false"/>
          <w:i w:val="false"/>
          <w:iCs w:val="false"/>
          <w:color w:val="auto"/>
        </w:rPr>
      </w:pPr>
      <w:r>
        <w:rPr>
          <w:rFonts w:ascii="Times New Roman" w:hAnsi="Times New Roman"/>
          <w:i w:val="false"/>
          <w:iCs w:val="false"/>
          <w:color w:val="auto"/>
        </w:rPr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ab/>
        <w:tab/>
        <w:tab/>
        <w:tab/>
        <w:tab/>
        <w:tab/>
        <w:tab/>
        <w:t xml:space="preserve">  </w:t>
      </w:r>
    </w:p>
    <w:p>
      <w:pPr>
        <w:pStyle w:val="Corpodotexto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ab/>
        <w:tab/>
        <w:tab/>
        <w:tab/>
        <w:tab/>
        <w:tab/>
        <w:tab/>
        <w:t xml:space="preserve">        Juiz de Fora, xx de xxxxde 202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>3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i w:val="false"/>
          <w:i w:val="false"/>
          <w:iCs w:val="false"/>
          <w:color w:val="auto"/>
        </w:rPr>
      </w:pPr>
      <w:r>
        <w:rPr>
          <w:rFonts w:ascii="Times New Roman" w:hAnsi="Times New Roman"/>
          <w:i w:val="false"/>
          <w:iCs w:val="false"/>
          <w:color w:val="auto"/>
        </w:rPr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  <w:i w:val="false"/>
          <w:i w:val="false"/>
          <w:iCs w:val="false"/>
          <w:color w:val="auto"/>
        </w:rPr>
      </w:pPr>
      <w:r>
        <w:rPr>
          <w:rFonts w:ascii="Times New Roman" w:hAnsi="Times New Roman"/>
          <w:i w:val="false"/>
          <w:iCs w:val="false"/>
          <w:color w:val="auto"/>
        </w:rPr>
      </w:r>
    </w:p>
    <w:p>
      <w:pPr>
        <w:pStyle w:val="Corpodotexto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>Igor Luna</w:t>
      </w:r>
    </w:p>
    <w:p>
      <w:pPr>
        <w:pStyle w:val="Corpodotexto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>Departamento de Educação Ambiental e Proteção dos Recursos Naturais - DEAPREN/SESMAUR</w:t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i w:val="false"/>
          <w:i w:val="false"/>
          <w:iCs w:val="false"/>
          <w:color w:val="auto"/>
        </w:rPr>
      </w:pPr>
      <w:r>
        <w:rPr>
          <w:rFonts w:ascii="Times New Roman" w:hAnsi="Times New Roman"/>
          <w:i w:val="false"/>
          <w:iCs w:val="false"/>
          <w:color w:val="auto"/>
        </w:rPr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i w:val="false"/>
          <w:i w:val="false"/>
          <w:iCs w:val="false"/>
          <w:color w:val="auto"/>
        </w:rPr>
      </w:pPr>
      <w:r>
        <w:rPr>
          <w:rFonts w:ascii="Times New Roman" w:hAnsi="Times New Roman"/>
          <w:i w:val="false"/>
          <w:iCs w:val="false"/>
          <w:color w:val="auto"/>
        </w:rPr>
      </w:r>
    </w:p>
    <w:p>
      <w:pPr>
        <w:pStyle w:val="Corpodotexto"/>
        <w:bidi w:val="0"/>
        <w:spacing w:lineRule="auto" w:line="360" w:before="0" w:after="0"/>
        <w:jc w:val="center"/>
        <w:rPr>
          <w:rFonts w:ascii="Times New Roman" w:hAnsi="Times New Roman"/>
          <w:i w:val="false"/>
          <w:i w:val="false"/>
          <w:iCs w:val="false"/>
          <w:color w:val="auto"/>
        </w:rPr>
      </w:pPr>
      <w:r>
        <w:rPr>
          <w:rFonts w:ascii="Times New Roman" w:hAnsi="Times New Roman"/>
          <w:i w:val="false"/>
          <w:iCs w:val="false"/>
          <w:color w:val="auto"/>
        </w:rPr>
      </w:r>
    </w:p>
    <w:p>
      <w:pPr>
        <w:pStyle w:val="Corpodotexto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>Aline da Rocha Junqueira</w:t>
      </w:r>
    </w:p>
    <w:p>
      <w:pPr>
        <w:pStyle w:val="Corpodotexto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 xml:space="preserve">Secretária SESMAUR/ </w:t>
      </w:r>
    </w:p>
    <w:p>
      <w:pPr>
        <w:pStyle w:val="Corpodotexto"/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2"/>
          <w:u w:val="none"/>
          <w:effect w:val="none"/>
        </w:rPr>
        <w:t>Secretaria de Sustentabilidade em Meio Ambiente e Atividades Urbanas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283" w:top="1417" w:footer="227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404040" w:themeColor="text1" w:themeTint="bf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404040" w:themeColor="text1" w:themeTint="bf"/>
        <w:sz w:val="20"/>
        <w:szCs w:val="20"/>
        <w:lang w:eastAsia="pt-BR"/>
      </w:rPr>
      <w:t xml:space="preserve">SESMAUR/PJF - 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color w:val="404040" w:themeColor="text1" w:themeTint="bf"/>
        <w:sz w:val="20"/>
        <w:szCs w:val="20"/>
        <w:lang w:eastAsia="pt-BR"/>
      </w:rPr>
    </w:pPr>
    <w:r>
      <w:rPr>
        <w:rFonts w:eastAsia="Times New Roman" w:cs="Times New Roman" w:ascii="Times New Roman" w:hAnsi="Times New Roman"/>
        <w:color w:val="404040" w:themeColor="text1" w:themeTint="bf"/>
        <w:sz w:val="20"/>
        <w:szCs w:val="20"/>
        <w:lang w:eastAsia="pt-BR"/>
      </w:rPr>
      <w:t xml:space="preserve">Av. Barão do Rio Branco, 1.843 – 1°, 2°, 3°, 5° e 6°, Centro, CEP: 36.013-020 - Juiz de Fora - MG </w:t>
    </w:r>
  </w:p>
  <w:sdt>
    <w:sdtPr>
      <w:docPartObj>
        <w:docPartGallery w:val="Page Numbers (Top of Page)"/>
        <w:docPartUnique w:val="true"/>
      </w:docPartObj>
      <w:id w:val="1699606041"/>
    </w:sdtPr>
    <w:sdtContent>
      <w:p>
        <w:pPr>
          <w:pStyle w:val="Rodap"/>
          <w:jc w:val="right"/>
          <w:rPr/>
        </w:pPr>
        <w:r>
          <w:rPr>
            <w:rFonts w:cs="Times New Roman" w:ascii="Times New Roman" w:hAnsi="Times New Roman"/>
            <w:color w:val="404040" w:themeColor="text1" w:themeTint="bf"/>
            <w:sz w:val="16"/>
            <w:szCs w:val="16"/>
          </w:rPr>
          <w:t xml:space="preserve">Página </w:t>
        </w:r>
        <w:r>
          <w:rPr>
            <w:rFonts w:cs="Times New Roman" w:ascii="Times New Roman" w:hAnsi="Times New Roman"/>
            <w:sz w:val="16"/>
            <w:szCs w:val="16"/>
          </w:rPr>
          <w:fldChar w:fldCharType="begin"/>
        </w:r>
        <w:r>
          <w:rPr>
            <w:sz w:val="16"/>
            <w:szCs w:val="16"/>
            <w:rFonts w:cs="Times New Roman" w:ascii="Times New Roman" w:hAnsi="Times New Roman"/>
          </w:rPr>
          <w:instrText> PAGE </w:instrText>
        </w:r>
        <w:r>
          <w:rPr>
            <w:sz w:val="16"/>
            <w:szCs w:val="16"/>
            <w:rFonts w:cs="Times New Roman" w:ascii="Times New Roman" w:hAnsi="Times New Roman"/>
          </w:rPr>
          <w:fldChar w:fldCharType="separate"/>
        </w:r>
        <w:r>
          <w:rPr>
            <w:sz w:val="16"/>
            <w:szCs w:val="16"/>
            <w:rFonts w:cs="Times New Roman" w:ascii="Times New Roman" w:hAnsi="Times New Roman"/>
          </w:rPr>
          <w:t>5</w:t>
        </w:r>
        <w:r>
          <w:rPr>
            <w:sz w:val="16"/>
            <w:szCs w:val="16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color w:val="404040" w:themeColor="text1" w:themeTint="bf"/>
            <w:sz w:val="16"/>
            <w:szCs w:val="16"/>
          </w:rPr>
          <w:t xml:space="preserve"> de </w:t>
        </w:r>
        <w:r>
          <w:rPr>
            <w:rFonts w:cs="Times New Roman" w:ascii="Times New Roman" w:hAnsi="Times New Roman"/>
            <w:sz w:val="16"/>
            <w:szCs w:val="16"/>
          </w:rPr>
          <w:fldChar w:fldCharType="begin"/>
        </w:r>
        <w:r>
          <w:rPr>
            <w:sz w:val="16"/>
            <w:szCs w:val="16"/>
            <w:rFonts w:cs="Times New Roman" w:ascii="Times New Roman" w:hAnsi="Times New Roman"/>
          </w:rPr>
          <w:instrText> NUMPAGES </w:instrText>
        </w:r>
        <w:r>
          <w:rPr>
            <w:sz w:val="16"/>
            <w:szCs w:val="16"/>
            <w:rFonts w:cs="Times New Roman" w:ascii="Times New Roman" w:hAnsi="Times New Roman"/>
          </w:rPr>
          <w:fldChar w:fldCharType="separate"/>
        </w:r>
        <w:r>
          <w:rPr>
            <w:sz w:val="16"/>
            <w:szCs w:val="16"/>
            <w:rFonts w:cs="Times New Roman" w:ascii="Times New Roman" w:hAnsi="Times New Roman"/>
          </w:rPr>
          <w:t>5</w:t>
        </w:r>
        <w:r>
          <w:rPr>
            <w:sz w:val="16"/>
            <w:szCs w:val="16"/>
            <w:rFonts w:cs="Times New Roman" w:ascii="Times New Roman" w:hAnsi="Times New Roman"/>
          </w:rPr>
          <w:fldChar w:fldCharType="end"/>
        </w:r>
      </w:p>
      <w:p>
        <w:pPr>
          <w:pStyle w:val="Rodap"/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4257675" cy="9525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31b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d31d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31d2d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31d2d"/>
    <w:rPr>
      <w:rFonts w:ascii="Tahoma" w:hAnsi="Tahoma" w:cs="Tahoma"/>
      <w:sz w:val="16"/>
      <w:szCs w:val="1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qFormat/>
    <w:rPr>
      <w:i/>
      <w:iCs/>
    </w:rPr>
  </w:style>
  <w:style w:type="character" w:styleId="ListLabel1">
    <w:name w:val="ListLabel 1"/>
    <w:qFormat/>
    <w:rPr>
      <w:rFonts w:ascii="Arial" w:hAnsi="Arial"/>
      <w:b w:val="false"/>
      <w:i w:val="false"/>
      <w:caps w:val="false"/>
      <w:smallCaps w:val="false"/>
      <w:color w:val="000000"/>
      <w:spacing w:val="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d31d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31d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31d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E0F1-641B-45F1-A089-CF66F00C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LibreOffice/6.2.8.2$Windows_X86_64 LibreOffice_project/f82ddfca21ebc1e222a662a32b25c0c9d20169ee</Application>
  <Pages>5</Pages>
  <Words>1207</Words>
  <Characters>6754</Characters>
  <CharactersWithSpaces>7945</CharactersWithSpaces>
  <Paragraphs>88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2021-04-14T19:02:00Z</dcterms:created>
  <dc:creator>semaur</dc:creator>
  <dc:description/>
  <dc:language>pt-BR</dc:language>
  <cp:lastModifiedBy/>
  <cp:lastPrinted>2021-01-27T21:07:00Z</cp:lastPrinted>
  <dcterms:modified xsi:type="dcterms:W3CDTF">2023-10-04T11:56:12Z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