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bidi w:val="0"/>
        <w:spacing w:lineRule="auto" w:line="240" w:before="0" w:after="0"/>
        <w:ind w:left="2124" w:right="0" w:hanging="0"/>
        <w:jc w:val="left"/>
        <w:rPr/>
      </w:pPr>
      <w:r>
        <w:rPr>
          <w:rFonts w:ascii="Times New Roman" w:hAnsi="Times New Roman"/>
          <w:b/>
          <w:sz w:val="24"/>
          <w:szCs w:val="24"/>
        </w:rPr>
        <w:t>Instrução Normativa n° 5</w:t>
      </w:r>
      <w:r>
        <w:rPr>
          <w:rFonts w:ascii="Times New Roman" w:hAnsi="Times New Roman"/>
          <w:b/>
          <w:sz w:val="24"/>
          <w:szCs w:val="24"/>
        </w:rPr>
        <w:t>8</w:t>
      </w:r>
      <w:r>
        <w:rPr>
          <w:rFonts w:ascii="Times New Roman" w:hAnsi="Times New Roman"/>
          <w:b/>
          <w:sz w:val="24"/>
          <w:szCs w:val="24"/>
        </w:rPr>
        <w:t>, de 03 de dezembro de 2020</w:t>
      </w:r>
    </w:p>
    <w:p>
      <w:pPr>
        <w:pStyle w:val="Normal"/>
        <w:widowControl/>
        <w:bidi w:val="0"/>
        <w:spacing w:lineRule="auto" w:line="240" w:before="0" w:after="0"/>
        <w:ind w:left="3402" w:right="0" w:hanging="0"/>
        <w:jc w:val="left"/>
        <w:rPr>
          <w:rFonts w:ascii="Times New Roman" w:hAnsi="Times New Roman"/>
          <w:b/>
          <w:b/>
          <w:sz w:val="24"/>
          <w:szCs w:val="24"/>
        </w:rPr>
      </w:pPr>
      <w:r>
        <w:rPr>
          <w:rFonts w:ascii="Times New Roman" w:hAnsi="Times New Roman"/>
          <w:b/>
          <w:sz w:val="24"/>
          <w:szCs w:val="24"/>
        </w:rPr>
      </w:r>
    </w:p>
    <w:p>
      <w:pPr>
        <w:pStyle w:val="Normal"/>
        <w:widowControl/>
        <w:bidi w:val="0"/>
        <w:spacing w:lineRule="auto" w:line="240" w:before="0" w:after="0"/>
        <w:ind w:left="3402" w:right="0" w:hanging="0"/>
        <w:jc w:val="left"/>
        <w:rPr>
          <w:rFonts w:ascii="Times New Roman" w:hAnsi="Times New Roman"/>
          <w:b/>
          <w:b/>
          <w:sz w:val="24"/>
          <w:szCs w:val="24"/>
        </w:rPr>
      </w:pPr>
      <w:r>
        <w:rPr>
          <w:rFonts w:ascii="Times New Roman" w:hAnsi="Times New Roman"/>
          <w:b/>
          <w:sz w:val="24"/>
          <w:szCs w:val="24"/>
        </w:rPr>
      </w:r>
    </w:p>
    <w:p>
      <w:pPr>
        <w:pStyle w:val="Normal"/>
        <w:widowControl/>
        <w:bidi w:val="0"/>
        <w:spacing w:lineRule="auto" w:line="240" w:before="0" w:after="0"/>
        <w:ind w:left="2124" w:right="0" w:hanging="0"/>
        <w:jc w:val="both"/>
        <w:rPr/>
      </w:pPr>
      <w:r>
        <w:rPr>
          <w:rFonts w:ascii="Times New Roman" w:hAnsi="Times New Roman"/>
          <w:b/>
          <w:sz w:val="24"/>
          <w:szCs w:val="24"/>
        </w:rPr>
        <w:t>Aprova o Manual do Relatório de Controle Interno sobre as Contas Anuais do Exercício Financeiro de 2020 a ser elaborado pelas Autarquias e Fundações do Município.</w:t>
      </w:r>
    </w:p>
    <w:p>
      <w:pPr>
        <w:pStyle w:val="Normal"/>
        <w:widowControl/>
        <w:bidi w:val="0"/>
        <w:spacing w:lineRule="auto" w:line="240" w:before="0" w:after="0"/>
        <w:ind w:left="3402" w:right="0" w:hanging="0"/>
        <w:jc w:val="both"/>
        <w:rPr>
          <w:rFonts w:ascii="Times New Roman" w:hAnsi="Times New Roman"/>
          <w:b/>
          <w:b/>
          <w:sz w:val="24"/>
          <w:szCs w:val="24"/>
        </w:rPr>
      </w:pPr>
      <w:r>
        <w:rPr>
          <w:rFonts w:ascii="Times New Roman" w:hAnsi="Times New Roman"/>
          <w:b/>
          <w:sz w:val="24"/>
          <w:szCs w:val="24"/>
        </w:rPr>
      </w:r>
    </w:p>
    <w:p>
      <w:pPr>
        <w:pStyle w:val="Normal"/>
        <w:widowControl/>
        <w:bidi w:val="0"/>
        <w:spacing w:lineRule="auto" w:line="240" w:before="0" w:after="0"/>
        <w:ind w:left="3402" w:right="0" w:hanging="0"/>
        <w:jc w:val="both"/>
        <w:rPr>
          <w:rFonts w:ascii="Times New Roman" w:hAnsi="Times New Roman"/>
          <w:b/>
          <w:b/>
          <w:sz w:val="24"/>
          <w:szCs w:val="24"/>
        </w:rPr>
      </w:pPr>
      <w:r>
        <w:rPr>
          <w:rFonts w:ascii="Times New Roman" w:hAnsi="Times New Roman"/>
          <w:b/>
          <w:sz w:val="24"/>
          <w:szCs w:val="24"/>
        </w:rPr>
      </w:r>
    </w:p>
    <w:p>
      <w:pPr>
        <w:pStyle w:val="Normal"/>
        <w:widowControl/>
        <w:bidi w:val="0"/>
        <w:spacing w:lineRule="auto" w:line="240" w:before="0" w:after="0"/>
        <w:ind w:left="0" w:right="0" w:firstLine="1417"/>
        <w:jc w:val="both"/>
        <w:rPr/>
      </w:pPr>
      <w:r>
        <w:rPr>
          <w:rFonts w:ascii="Times New Roman" w:hAnsi="Times New Roman"/>
          <w:b w:val="false"/>
          <w:bCs w:val="false"/>
          <w:sz w:val="24"/>
          <w:szCs w:val="24"/>
        </w:rPr>
        <w:t>A CONTROLADORIA GERAL DO MUNICÍPIO</w:t>
      </w:r>
      <w:r>
        <w:rPr>
          <w:rFonts w:ascii="Times New Roman" w:hAnsi="Times New Roman"/>
          <w:sz w:val="24"/>
          <w:szCs w:val="24"/>
        </w:rPr>
        <w:t>, no uso de suas atribuições que lhe conferem o Decreto n° 14.189, de 20 de novembro de 2020; e</w:t>
      </w:r>
    </w:p>
    <w:p>
      <w:pPr>
        <w:pStyle w:val="Normal"/>
        <w:widowControl/>
        <w:bidi w:val="0"/>
        <w:spacing w:lineRule="auto" w:line="240" w:before="0" w:after="0"/>
        <w:ind w:left="0" w:right="0" w:firstLine="1417"/>
        <w:jc w:val="both"/>
        <w:rPr>
          <w:rFonts w:ascii="Times New Roman" w:hAnsi="Times New Roman"/>
          <w:caps/>
          <w:sz w:val="24"/>
          <w:szCs w:val="24"/>
        </w:rPr>
      </w:pPr>
      <w:r>
        <w:rPr>
          <w:rFonts w:ascii="Times New Roman" w:hAnsi="Times New Roman"/>
          <w:caps/>
          <w:sz w:val="24"/>
          <w:szCs w:val="24"/>
        </w:rPr>
      </w:r>
    </w:p>
    <w:p>
      <w:pPr>
        <w:pStyle w:val="Normal"/>
        <w:widowControl/>
        <w:bidi w:val="0"/>
        <w:spacing w:lineRule="auto" w:line="240" w:before="0" w:after="0"/>
        <w:ind w:left="0" w:right="0" w:firstLine="1417"/>
        <w:jc w:val="both"/>
        <w:rPr>
          <w:sz w:val="24"/>
          <w:szCs w:val="24"/>
        </w:rPr>
      </w:pPr>
      <w:r>
        <w:rPr>
          <w:rFonts w:ascii="Times New Roman" w:hAnsi="Times New Roman"/>
          <w:caps/>
          <w:sz w:val="24"/>
          <w:szCs w:val="24"/>
        </w:rPr>
        <w:t>Considerando</w:t>
      </w:r>
      <w:r>
        <w:rPr>
          <w:rFonts w:ascii="Times New Roman" w:hAnsi="Times New Roman"/>
          <w:sz w:val="24"/>
          <w:szCs w:val="24"/>
        </w:rPr>
        <w:t xml:space="preserve"> a Instrução Normativa nº 04, de 29 de novembro de 2017, do Tribunal de Contas do Estado de Minas Gerais, que estabelece diretrizes para prestação das contas anuais do Chefe do Poder Executivo Municipal referentes ao exercício de 2019;</w:t>
      </w:r>
    </w:p>
    <w:p>
      <w:pPr>
        <w:pStyle w:val="Normal"/>
        <w:widowControl/>
        <w:bidi w:val="0"/>
        <w:spacing w:lineRule="auto" w:line="240" w:before="0" w:after="0"/>
        <w:ind w:left="0" w:right="0" w:firstLine="1417"/>
        <w:jc w:val="both"/>
        <w:rPr>
          <w:rFonts w:ascii="Times New Roman" w:hAnsi="Times New Roman"/>
          <w:caps/>
          <w:sz w:val="24"/>
          <w:szCs w:val="24"/>
        </w:rPr>
      </w:pPr>
      <w:r>
        <w:rPr>
          <w:rFonts w:ascii="Times New Roman" w:hAnsi="Times New Roman"/>
          <w:caps/>
          <w:sz w:val="24"/>
          <w:szCs w:val="24"/>
        </w:rPr>
      </w:r>
    </w:p>
    <w:p>
      <w:pPr>
        <w:pStyle w:val="Normal"/>
        <w:widowControl/>
        <w:bidi w:val="0"/>
        <w:spacing w:lineRule="auto" w:line="240" w:before="0" w:after="0"/>
        <w:ind w:left="0" w:right="0" w:firstLine="1417"/>
        <w:jc w:val="both"/>
        <w:rPr>
          <w:sz w:val="24"/>
          <w:szCs w:val="24"/>
        </w:rPr>
      </w:pPr>
      <w:r>
        <w:rPr>
          <w:rFonts w:ascii="Times New Roman" w:hAnsi="Times New Roman"/>
          <w:caps/>
          <w:sz w:val="24"/>
          <w:szCs w:val="24"/>
        </w:rPr>
        <w:t>Considerando</w:t>
      </w:r>
      <w:r>
        <w:rPr>
          <w:rFonts w:ascii="Times New Roman" w:hAnsi="Times New Roman"/>
          <w:sz w:val="24"/>
          <w:szCs w:val="24"/>
        </w:rPr>
        <w:t>, ainda, que, na análise da prestação de contas anual do Chefe do Poder Executivo, o Tribunal de Contas do Estado de Minas Gerais considera, também, as informações encaminhadas por meio do Sistema Informatizado de Contas dos Municípios - SICOM pelos gestores das entidades da Administração Indireta Municipal, nos módulos “Acompanhamento Mensal”, “Balancete Contábil” e “DCASP- Demonstrações Contábeis Aplicadas ao Setor Público”;</w:t>
      </w:r>
    </w:p>
    <w:p>
      <w:pPr>
        <w:pStyle w:val="Normal"/>
        <w:widowControl/>
        <w:bidi w:val="0"/>
        <w:spacing w:lineRule="auto" w:line="240" w:before="0" w:after="0"/>
        <w:ind w:left="0" w:right="0" w:firstLine="1417"/>
        <w:jc w:val="both"/>
        <w:rPr>
          <w:rFonts w:ascii="Times New Roman" w:hAnsi="Times New Roman"/>
          <w:caps/>
          <w:sz w:val="24"/>
          <w:szCs w:val="24"/>
        </w:rPr>
      </w:pPr>
      <w:r>
        <w:rPr>
          <w:rFonts w:ascii="Times New Roman" w:hAnsi="Times New Roman"/>
          <w:caps/>
          <w:sz w:val="24"/>
          <w:szCs w:val="24"/>
        </w:rPr>
      </w:r>
    </w:p>
    <w:p>
      <w:pPr>
        <w:pStyle w:val="Normal"/>
        <w:widowControl/>
        <w:bidi w:val="0"/>
        <w:spacing w:lineRule="auto" w:line="240" w:before="0" w:after="0"/>
        <w:ind w:left="0" w:right="0" w:firstLine="1417"/>
        <w:jc w:val="both"/>
        <w:rPr>
          <w:sz w:val="24"/>
          <w:szCs w:val="24"/>
        </w:rPr>
      </w:pPr>
      <w:r>
        <w:rPr>
          <w:rFonts w:ascii="Times New Roman" w:hAnsi="Times New Roman"/>
          <w:caps/>
          <w:sz w:val="24"/>
          <w:szCs w:val="24"/>
        </w:rPr>
        <w:t>Considerando</w:t>
      </w:r>
      <w:r>
        <w:rPr>
          <w:rFonts w:ascii="Times New Roman" w:hAnsi="Times New Roman"/>
          <w:sz w:val="24"/>
          <w:szCs w:val="24"/>
        </w:rPr>
        <w:t xml:space="preserve">, finalmente, a necessidade de se instituir um instrumento eficiente de orientação comum aos gestores, mediante consolidação, em um só documento, de conceitos, regras e procedimentos de elaboração do Relatório de Controle Interno das Autarquias e Fundações do Município, </w:t>
      </w:r>
      <w:r>
        <w:rPr>
          <w:rFonts w:ascii="Times New Roman" w:hAnsi="Times New Roman"/>
          <w:b/>
          <w:sz w:val="24"/>
          <w:szCs w:val="24"/>
        </w:rPr>
        <w:t>estabelece as seguintes instruções</w:t>
      </w:r>
      <w:r>
        <w:rPr>
          <w:rFonts w:ascii="Times New Roman" w:hAnsi="Times New Roman"/>
          <w:sz w:val="24"/>
          <w:szCs w:val="24"/>
        </w:rPr>
        <w:t>:</w:t>
      </w:r>
    </w:p>
    <w:p>
      <w:pPr>
        <w:pStyle w:val="Normal"/>
        <w:widowControl/>
        <w:bidi w:val="0"/>
        <w:spacing w:lineRule="auto" w:line="240" w:before="0" w:after="0"/>
        <w:ind w:left="0" w:right="0" w:firstLine="1417"/>
        <w:jc w:val="both"/>
        <w:rPr>
          <w:rFonts w:ascii="Times New Roman" w:hAnsi="Times New Roman"/>
          <w:sz w:val="24"/>
          <w:szCs w:val="24"/>
        </w:rPr>
      </w:pPr>
      <w:r>
        <w:rPr>
          <w:rFonts w:ascii="Times New Roman" w:hAnsi="Times New Roman"/>
          <w:sz w:val="24"/>
          <w:szCs w:val="24"/>
        </w:rPr>
      </w:r>
    </w:p>
    <w:p>
      <w:pPr>
        <w:pStyle w:val="Normal"/>
        <w:widowControl/>
        <w:bidi w:val="0"/>
        <w:spacing w:lineRule="auto" w:line="240" w:before="0" w:after="0"/>
        <w:ind w:left="0" w:right="0" w:firstLine="1417"/>
        <w:jc w:val="both"/>
        <w:rPr>
          <w:rFonts w:ascii="Times New Roman" w:hAnsi="Times New Roman"/>
          <w:sz w:val="24"/>
          <w:szCs w:val="24"/>
        </w:rPr>
      </w:pPr>
      <w:r>
        <w:rPr>
          <w:rFonts w:ascii="Times New Roman" w:hAnsi="Times New Roman"/>
          <w:sz w:val="24"/>
          <w:szCs w:val="24"/>
        </w:rPr>
      </w:r>
    </w:p>
    <w:p>
      <w:pPr>
        <w:pStyle w:val="Normal"/>
        <w:widowControl/>
        <w:bidi w:val="0"/>
        <w:spacing w:lineRule="auto" w:line="240" w:before="0" w:after="0"/>
        <w:ind w:left="0" w:right="0" w:firstLine="1417"/>
        <w:jc w:val="both"/>
        <w:rPr/>
      </w:pPr>
      <w:r>
        <w:rPr>
          <w:rFonts w:ascii="Times New Roman" w:hAnsi="Times New Roman"/>
          <w:b/>
          <w:bCs/>
          <w:sz w:val="24"/>
          <w:szCs w:val="24"/>
        </w:rPr>
        <w:t>1 -</w:t>
      </w:r>
      <w:r>
        <w:rPr>
          <w:rFonts w:ascii="Times New Roman" w:hAnsi="Times New Roman"/>
          <w:sz w:val="24"/>
          <w:szCs w:val="24"/>
        </w:rPr>
        <w:t xml:space="preserve"> Fica aprovado o Manual do Relatório de Controle Interno sobre as Contas Anuais do Exercício Financeiro de 2020, constante desta Instrução Normativa, a ser utilizado pelas Autarquias e Fundações, ficando disponível para acesso na internet através do endereço eletrônico </w:t>
      </w:r>
      <w:r>
        <w:rPr>
          <w:rStyle w:val="LinkdaInternet"/>
          <w:rFonts w:ascii="Times New Roman" w:hAnsi="Times New Roman"/>
          <w:color w:val="auto"/>
          <w:sz w:val="22"/>
          <w:szCs w:val="22"/>
          <w:u w:val="none"/>
        </w:rPr>
        <w:t>https://www.pjf.mg.gov.br/secretarias/cgm/normas_tecnicas/legislacao/instrucoes.php</w:t>
      </w:r>
      <w:r>
        <w:rPr>
          <w:rFonts w:ascii="Times New Roman" w:hAnsi="Times New Roman"/>
          <w:sz w:val="24"/>
          <w:szCs w:val="24"/>
        </w:rPr>
        <w:t>.</w:t>
      </w:r>
    </w:p>
    <w:p>
      <w:pPr>
        <w:pStyle w:val="Normal"/>
        <w:widowControl/>
        <w:bidi w:val="0"/>
        <w:spacing w:lineRule="auto" w:line="240" w:before="0" w:after="0"/>
        <w:ind w:left="0" w:right="0" w:firstLine="1417"/>
        <w:jc w:val="both"/>
        <w:rPr>
          <w:rFonts w:ascii="Times New Roman" w:hAnsi="Times New Roman"/>
          <w:sz w:val="24"/>
          <w:szCs w:val="24"/>
        </w:rPr>
      </w:pPr>
      <w:r>
        <w:rPr>
          <w:rFonts w:ascii="Times New Roman" w:hAnsi="Times New Roman"/>
          <w:sz w:val="24"/>
          <w:szCs w:val="24"/>
        </w:rPr>
      </w:r>
    </w:p>
    <w:p>
      <w:pPr>
        <w:pStyle w:val="Normal"/>
        <w:widowControl/>
        <w:bidi w:val="0"/>
        <w:spacing w:lineRule="auto" w:line="240" w:before="0" w:after="0"/>
        <w:ind w:left="0" w:right="0" w:firstLine="1417"/>
        <w:jc w:val="both"/>
        <w:rPr>
          <w:sz w:val="24"/>
          <w:szCs w:val="24"/>
        </w:rPr>
      </w:pPr>
      <w:r>
        <w:rPr>
          <w:rFonts w:ascii="Times New Roman" w:hAnsi="Times New Roman"/>
          <w:b/>
          <w:bCs/>
          <w:sz w:val="24"/>
          <w:szCs w:val="24"/>
        </w:rPr>
        <w:t>2 -</w:t>
      </w:r>
      <w:r>
        <w:rPr>
          <w:rFonts w:ascii="Times New Roman" w:hAnsi="Times New Roman"/>
          <w:sz w:val="24"/>
          <w:szCs w:val="24"/>
        </w:rPr>
        <w:t xml:space="preserve"> O Relatório de Controle Interno será desenvolvido pela comissão responsável pelo acompanhamento das ações do controle interno setorial de cada entidade, reportando-se, tecnicamente, ao Departamento de Controle da Gestão Operacional da Controladoria Geral do Município – DCGO/CGM, vedada a apresentação de relatórios emitidos por empresas de assessoria, auditoria ou consultoria contratada.</w:t>
      </w:r>
    </w:p>
    <w:p>
      <w:pPr>
        <w:pStyle w:val="Normal"/>
        <w:widowControl/>
        <w:bidi w:val="0"/>
        <w:spacing w:lineRule="auto" w:line="240" w:before="0" w:after="0"/>
        <w:ind w:left="0" w:right="0" w:firstLine="1417"/>
        <w:jc w:val="both"/>
        <w:rPr>
          <w:rFonts w:ascii="Times New Roman" w:hAnsi="Times New Roman"/>
          <w:sz w:val="24"/>
          <w:szCs w:val="24"/>
        </w:rPr>
      </w:pPr>
      <w:r>
        <w:rPr>
          <w:rFonts w:ascii="Times New Roman" w:hAnsi="Times New Roman"/>
          <w:sz w:val="24"/>
          <w:szCs w:val="24"/>
        </w:rPr>
      </w:r>
    </w:p>
    <w:p>
      <w:pPr>
        <w:pStyle w:val="Normal"/>
        <w:widowControl/>
        <w:bidi w:val="0"/>
        <w:spacing w:lineRule="auto" w:line="240" w:before="0" w:after="0"/>
        <w:ind w:left="0" w:right="0" w:firstLine="1417"/>
        <w:jc w:val="both"/>
        <w:rPr>
          <w:sz w:val="24"/>
          <w:szCs w:val="24"/>
        </w:rPr>
      </w:pPr>
      <w:r>
        <w:rPr>
          <w:rFonts w:ascii="Times New Roman" w:hAnsi="Times New Roman"/>
          <w:b/>
          <w:bCs/>
          <w:sz w:val="24"/>
          <w:szCs w:val="24"/>
        </w:rPr>
        <w:t>2.1 -</w:t>
      </w:r>
      <w:r>
        <w:rPr>
          <w:rFonts w:ascii="Times New Roman" w:hAnsi="Times New Roman"/>
          <w:sz w:val="24"/>
          <w:szCs w:val="24"/>
        </w:rPr>
        <w:t xml:space="preserve"> Os modelos e orientações, constantes do Manual para elaboração do Relatório de Controle Interno, são apenas exemplificativos, podendo ser ampliados no momento da elaboração, observada sua estrutura.</w:t>
      </w:r>
    </w:p>
    <w:p>
      <w:pPr>
        <w:pStyle w:val="Normal"/>
        <w:widowControl/>
        <w:bidi w:val="0"/>
        <w:spacing w:lineRule="auto" w:line="240" w:before="0" w:after="0"/>
        <w:ind w:left="0" w:right="0" w:firstLine="1417"/>
        <w:jc w:val="both"/>
        <w:rPr>
          <w:rFonts w:ascii="Times New Roman" w:hAnsi="Times New Roman"/>
          <w:sz w:val="24"/>
          <w:szCs w:val="24"/>
        </w:rPr>
      </w:pPr>
      <w:r>
        <w:rPr>
          <w:rFonts w:ascii="Times New Roman" w:hAnsi="Times New Roman"/>
          <w:sz w:val="24"/>
          <w:szCs w:val="24"/>
        </w:rPr>
      </w:r>
    </w:p>
    <w:p>
      <w:pPr>
        <w:pStyle w:val="Normal"/>
        <w:widowControl/>
        <w:bidi w:val="0"/>
        <w:spacing w:lineRule="auto" w:line="240" w:before="0" w:after="0"/>
        <w:ind w:left="0" w:right="0" w:firstLine="1417"/>
        <w:jc w:val="both"/>
        <w:rPr>
          <w:sz w:val="24"/>
          <w:szCs w:val="24"/>
        </w:rPr>
      </w:pPr>
      <w:r>
        <w:rPr>
          <w:rFonts w:ascii="Times New Roman" w:hAnsi="Times New Roman"/>
          <w:b/>
          <w:bCs/>
          <w:sz w:val="24"/>
          <w:szCs w:val="24"/>
        </w:rPr>
        <w:t>3 -</w:t>
      </w:r>
      <w:r>
        <w:rPr>
          <w:rFonts w:ascii="Times New Roman" w:hAnsi="Times New Roman"/>
          <w:sz w:val="24"/>
          <w:szCs w:val="24"/>
        </w:rPr>
        <w:t xml:space="preserve"> Esta Instrução Normativa entra em vigor na data de sua publicação, encontrando-se o referido anexo afixado ao Processo Administrativo n° 10980/2008 - 1° volume.</w:t>
      </w:r>
    </w:p>
    <w:p>
      <w:pPr>
        <w:pStyle w:val="Normal"/>
        <w:widowControl/>
        <w:bidi w:val="0"/>
        <w:spacing w:lineRule="auto" w:line="240" w:before="0" w:after="0"/>
        <w:ind w:left="0" w:right="0" w:firstLine="1417"/>
        <w:jc w:val="both"/>
        <w:rPr>
          <w:rFonts w:ascii="Times New Roman" w:hAnsi="Times New Roman"/>
          <w:sz w:val="24"/>
          <w:szCs w:val="24"/>
        </w:rPr>
      </w:pPr>
      <w:r>
        <w:rPr>
          <w:rFonts w:ascii="Times New Roman" w:hAnsi="Times New Roman"/>
          <w:sz w:val="24"/>
          <w:szCs w:val="24"/>
        </w:rPr>
      </w:r>
    </w:p>
    <w:p>
      <w:pPr>
        <w:pStyle w:val="Normal"/>
        <w:widowControl/>
        <w:bidi w:val="0"/>
        <w:spacing w:lineRule="auto" w:line="240" w:before="0" w:after="0"/>
        <w:ind w:left="0" w:right="0" w:firstLine="1417"/>
        <w:jc w:val="both"/>
        <w:rPr/>
      </w:pPr>
      <w:r>
        <w:rPr>
          <w:rFonts w:ascii="Times New Roman" w:hAnsi="Times New Roman"/>
          <w:b/>
          <w:bCs/>
          <w:sz w:val="24"/>
          <w:szCs w:val="24"/>
        </w:rPr>
        <w:t>4 -</w:t>
      </w:r>
      <w:r>
        <w:rPr>
          <w:rFonts w:ascii="Times New Roman" w:hAnsi="Times New Roman"/>
          <w:sz w:val="24"/>
          <w:szCs w:val="24"/>
        </w:rPr>
        <w:t xml:space="preserve"> Revoga-se a Instrução Normativa n° 55, de 17 de dezembro de 2019.</w:t>
      </w:r>
    </w:p>
    <w:p>
      <w:pPr>
        <w:pStyle w:val="Normal"/>
        <w:widowControl/>
        <w:bidi w:val="0"/>
        <w:spacing w:lineRule="auto" w:line="240" w:before="0" w:after="0"/>
        <w:ind w:left="0" w:right="0" w:firstLine="1417"/>
        <w:jc w:val="both"/>
        <w:rPr>
          <w:rFonts w:ascii="Times New Roman" w:hAnsi="Times New Roman"/>
          <w:sz w:val="24"/>
          <w:szCs w:val="24"/>
        </w:rPr>
      </w:pPr>
      <w:r>
        <w:rPr>
          <w:rFonts w:ascii="Times New Roman" w:hAnsi="Times New Roman"/>
          <w:sz w:val="24"/>
          <w:szCs w:val="24"/>
        </w:rPr>
      </w:r>
    </w:p>
    <w:p>
      <w:pPr>
        <w:pStyle w:val="Normal"/>
        <w:widowControl/>
        <w:bidi w:val="0"/>
        <w:spacing w:lineRule="auto" w:line="240" w:before="0" w:after="0"/>
        <w:ind w:left="0" w:right="0" w:firstLine="1417"/>
        <w:jc w:val="both"/>
        <w:rPr>
          <w:sz w:val="24"/>
          <w:szCs w:val="24"/>
        </w:rPr>
      </w:pPr>
      <w:r>
        <w:rPr>
          <w:rFonts w:ascii="Times New Roman" w:hAnsi="Times New Roman"/>
          <w:b/>
          <w:bCs/>
          <w:sz w:val="24"/>
          <w:szCs w:val="24"/>
        </w:rPr>
        <w:t xml:space="preserve">5 - </w:t>
      </w:r>
      <w:r>
        <w:rPr>
          <w:rFonts w:ascii="Times New Roman" w:hAnsi="Times New Roman"/>
          <w:sz w:val="24"/>
          <w:szCs w:val="24"/>
        </w:rPr>
        <w:t>Registre-se, publique-se por afixação e cumpra-se.</w:t>
      </w:r>
    </w:p>
    <w:p>
      <w:pPr>
        <w:pStyle w:val="Normal"/>
        <w:widowControl/>
        <w:bidi w:val="0"/>
        <w:spacing w:lineRule="auto" w:line="240" w:before="0" w:after="0"/>
        <w:ind w:left="0" w:right="0" w:firstLine="1417"/>
        <w:jc w:val="both"/>
        <w:rPr>
          <w:rFonts w:ascii="Times New Roman" w:hAnsi="Times New Roman"/>
          <w:sz w:val="24"/>
          <w:szCs w:val="24"/>
        </w:rPr>
      </w:pPr>
      <w:r>
        <w:rPr>
          <w:rFonts w:ascii="Times New Roman" w:hAnsi="Times New Roman"/>
          <w:sz w:val="24"/>
          <w:szCs w:val="24"/>
        </w:rPr>
      </w:r>
    </w:p>
    <w:p>
      <w:pPr>
        <w:pStyle w:val="Normal"/>
        <w:widowControl/>
        <w:bidi w:val="0"/>
        <w:spacing w:lineRule="auto" w:line="240" w:before="0" w:after="0"/>
        <w:ind w:left="0" w:right="0" w:firstLine="1417"/>
        <w:jc w:val="both"/>
        <w:rPr/>
      </w:pPr>
      <w:r>
        <w:rPr>
          <w:rFonts w:ascii="Times New Roman" w:hAnsi="Times New Roman"/>
          <w:sz w:val="24"/>
          <w:szCs w:val="24"/>
        </w:rPr>
        <w:t>Juiz de Fora, 03 de dezembro de 2020</w:t>
      </w:r>
    </w:p>
    <w:p>
      <w:pPr>
        <w:pStyle w:val="Normal"/>
        <w:bidi w:val="0"/>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bidi w:val="0"/>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bidi w:val="0"/>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bidi w:val="0"/>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bidi w:val="0"/>
        <w:spacing w:lineRule="auto" w:line="240" w:before="0" w:after="0"/>
        <w:jc w:val="center"/>
        <w:rPr>
          <w:sz w:val="24"/>
          <w:szCs w:val="24"/>
        </w:rPr>
      </w:pPr>
      <w:r>
        <w:rPr>
          <w:rFonts w:ascii="Times New Roman" w:hAnsi="Times New Roman"/>
          <w:b/>
          <w:sz w:val="24"/>
          <w:szCs w:val="24"/>
        </w:rPr>
        <w:t>MARLENE DE PAULA BASSOLI</w:t>
      </w:r>
    </w:p>
    <w:p>
      <w:pPr>
        <w:pStyle w:val="Normal"/>
        <w:bidi w:val="0"/>
        <w:spacing w:lineRule="auto" w:line="240" w:before="0" w:after="0"/>
        <w:jc w:val="center"/>
        <w:rPr>
          <w:sz w:val="24"/>
          <w:szCs w:val="24"/>
        </w:rPr>
      </w:pPr>
      <w:r>
        <w:rPr>
          <w:rFonts w:ascii="Times New Roman" w:hAnsi="Times New Roman"/>
          <w:sz w:val="24"/>
          <w:szCs w:val="24"/>
        </w:rPr>
        <w:t>Controladora Geral do Município</w:t>
      </w:r>
    </w:p>
    <w:p>
      <w:pPr>
        <w:pStyle w:val="Normal"/>
        <w:bidi w:val="0"/>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bidi w:val="0"/>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bidi w:val="0"/>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bidi w:val="0"/>
        <w:spacing w:lineRule="auto" w:line="240" w:before="0" w:after="0"/>
        <w:jc w:val="center"/>
        <w:rPr>
          <w:sz w:val="24"/>
          <w:szCs w:val="24"/>
        </w:rPr>
      </w:pPr>
      <w:r>
        <w:rPr>
          <w:rFonts w:ascii="Times New Roman" w:hAnsi="Times New Roman"/>
          <w:b/>
          <w:sz w:val="24"/>
          <w:szCs w:val="24"/>
        </w:rPr>
        <w:t>DOUGLAS ALVES SOUZA</w:t>
      </w:r>
    </w:p>
    <w:p>
      <w:pPr>
        <w:pStyle w:val="Normal"/>
        <w:bidi w:val="0"/>
        <w:spacing w:lineRule="auto" w:line="240" w:before="0" w:after="0"/>
        <w:jc w:val="center"/>
        <w:rPr/>
      </w:pPr>
      <w:r>
        <w:rPr>
          <w:rFonts w:ascii="Times New Roman" w:hAnsi="Times New Roman"/>
          <w:sz w:val="24"/>
          <w:szCs w:val="24"/>
        </w:rPr>
        <w:t>Gerente do Departame</w:t>
      </w:r>
      <w:bookmarkStart w:id="0" w:name="_GoBack"/>
      <w:bookmarkEnd w:id="0"/>
      <w:r>
        <w:rPr>
          <w:rFonts w:ascii="Times New Roman" w:hAnsi="Times New Roman"/>
          <w:sz w:val="24"/>
          <w:szCs w:val="24"/>
        </w:rPr>
        <w:t>nto de Normas Técnicas</w:t>
      </w:r>
    </w:p>
    <w:sectPr>
      <w:headerReference w:type="default" r:id="rId2"/>
      <w:footerReference w:type="default" r:id="rId3"/>
      <w:type w:val="nextPage"/>
      <w:pgSz w:w="11906" w:h="16838"/>
      <w:pgMar w:left="1701" w:right="1134" w:header="539" w:top="2268" w:footer="567" w:bottom="83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Liberation Sans">
    <w:altName w:val="Arial"/>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spacing w:lineRule="auto" w:line="240" w:before="0" w:after="0"/>
      <w:jc w:val="center"/>
      <w:rPr>
        <w:rFonts w:ascii="Times New Roman" w:hAnsi="Times New Roman"/>
        <w:b w:val="false"/>
        <w:b w:val="false"/>
        <w:bCs w:val="false"/>
        <w:sz w:val="24"/>
        <w:szCs w:val="24"/>
      </w:rPr>
    </w:pPr>
    <w:r>
      <w:rPr>
        <w:rFonts w:ascii="Times New Roman" w:hAnsi="Times New Roman"/>
        <w:b w:val="false"/>
        <w:bCs w:val="false"/>
        <w:sz w:val="24"/>
        <w:szCs w:val="24"/>
      </w:rPr>
      <w:drawing>
        <wp:anchor behindDoc="1" distT="0" distB="0" distL="114300" distR="118110" simplePos="0" locked="0" layoutInCell="1" allowOverlap="1" relativeHeight="3">
          <wp:simplePos x="0" y="0"/>
          <wp:positionH relativeFrom="column">
            <wp:posOffset>2547620</wp:posOffset>
          </wp:positionH>
          <wp:positionV relativeFrom="paragraph">
            <wp:posOffset>-53340</wp:posOffset>
          </wp:positionV>
          <wp:extent cx="524510" cy="629920"/>
          <wp:effectExtent l="0" t="0" r="0" b="0"/>
          <wp:wrapTopAndBottom/>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0" t="0" r="74121" b="0"/>
                  <a:stretch>
                    <a:fillRect/>
                  </a:stretch>
                </pic:blipFill>
                <pic:spPr bwMode="auto">
                  <a:xfrm>
                    <a:off x="0" y="0"/>
                    <a:ext cx="524510" cy="629920"/>
                  </a:xfrm>
                  <a:prstGeom prst="rect">
                    <a:avLst/>
                  </a:prstGeom>
                </pic:spPr>
              </pic:pic>
            </a:graphicData>
          </a:graphic>
        </wp:anchor>
      </w:drawing>
    </w:r>
  </w:p>
  <w:p>
    <w:pPr>
      <w:pStyle w:val="Normal"/>
      <w:bidi w:val="0"/>
      <w:spacing w:lineRule="auto" w:line="240" w:before="0" w:after="0"/>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bidi w:val="0"/>
      <w:spacing w:lineRule="auto" w:line="240" w:before="0" w:after="0"/>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bidi w:val="0"/>
      <w:spacing w:lineRule="auto" w:line="240" w:before="0" w:after="0"/>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bidi w:val="0"/>
      <w:spacing w:lineRule="auto" w:line="240" w:before="0" w:after="0"/>
      <w:jc w:val="center"/>
      <w:rPr/>
    </w:pPr>
    <w:r>
      <w:rPr>
        <w:rFonts w:ascii="Times New Roman" w:hAnsi="Times New Roman"/>
        <w:b w:val="false"/>
        <w:bCs w:val="false"/>
        <w:sz w:val="24"/>
        <w:szCs w:val="24"/>
      </w:rPr>
      <w:t>PREFEITURA DE JUIZ DE FORA</w:t>
    </w:r>
  </w:p>
  <w:p>
    <w:pPr>
      <w:pStyle w:val="Normal"/>
      <w:bidi w:val="0"/>
      <w:spacing w:lineRule="auto" w:line="240" w:before="0" w:after="0"/>
      <w:jc w:val="center"/>
      <w:rPr/>
    </w:pPr>
    <w:r>
      <w:rPr>
        <w:rFonts w:ascii="Times New Roman" w:hAnsi="Times New Roman"/>
        <w:b w:val="false"/>
        <w:bCs w:val="false"/>
        <w:sz w:val="24"/>
        <w:szCs w:val="24"/>
      </w:rPr>
      <w:t>Controladoria Geral do Município</w:t>
    </w:r>
  </w:p>
  <w:p>
    <w:pPr>
      <w:pStyle w:val="Normal"/>
      <w:bidi w:val="0"/>
      <w:spacing w:lineRule="auto" w:line="240" w:before="0" w:after="0"/>
      <w:jc w:val="center"/>
      <w:rPr/>
    </w:pPr>
    <w:r>
      <w:rPr>
        <w:rFonts w:ascii="Times New Roman" w:hAnsi="Times New Roman"/>
        <w:b w:val="false"/>
        <w:bCs w:val="false"/>
        <w:sz w:val="24"/>
        <w:szCs w:val="24"/>
      </w:rPr>
      <w:t>Departamento de Normas Técnicas</w:t>
    </w:r>
  </w:p>
  <w:p>
    <w:pPr>
      <w:pStyle w:val="Normal"/>
      <w:bidi w:val="0"/>
      <w:spacing w:lineRule="auto" w:line="240" w:before="0" w:after="0"/>
      <w:jc w:val="center"/>
      <w:rPr>
        <w:rFonts w:ascii="Times New Roman" w:hAnsi="Times New Roman"/>
        <w:b w:val="false"/>
        <w:b w:val="false"/>
        <w:bCs w:val="false"/>
        <w:sz w:val="24"/>
        <w:szCs w:val="24"/>
      </w:rPr>
    </w:pPr>
    <w:r>
      <w:rPr>
        <w:rFonts w:ascii="Times New Roman" w:hAnsi="Times New Roman"/>
        <w:b w:val="false"/>
        <w:bCs w:val="false"/>
        <w:sz w:val="24"/>
        <w:szCs w:val="24"/>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97fc2"/>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831511"/>
    <w:rPr/>
  </w:style>
  <w:style w:type="character" w:styleId="RodapChar" w:customStyle="1">
    <w:name w:val="Rodapé Char"/>
    <w:basedOn w:val="DefaultParagraphFont"/>
    <w:link w:val="Rodap"/>
    <w:uiPriority w:val="99"/>
    <w:qFormat/>
    <w:rsid w:val="00831511"/>
    <w:rPr/>
  </w:style>
  <w:style w:type="character" w:styleId="LinkdaInternet">
    <w:name w:val="Link da Internet"/>
    <w:basedOn w:val="DefaultParagraphFont"/>
    <w:uiPriority w:val="99"/>
    <w:unhideWhenUsed/>
    <w:rsid w:val="00a403fd"/>
    <w:rPr>
      <w:color w:val="0563C1" w:themeColor="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
    <w:name w:val="Header"/>
    <w:basedOn w:val="Normal"/>
    <w:link w:val="CabealhoChar"/>
    <w:uiPriority w:val="99"/>
    <w:unhideWhenUsed/>
    <w:rsid w:val="00831511"/>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831511"/>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Application>LibreOffice/6.1.6.3$Windows_X86_64 LibreOffice_project/5896ab1714085361c45cf540f76f60673dd96a72</Application>
  <Pages>2</Pages>
  <Words>414</Words>
  <Characters>2437</Characters>
  <CharactersWithSpaces>2832</CharactersWithSpaces>
  <Paragraphs>20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2018-12-06T11:44:00Z</dcterms:created>
  <dc:creator>denise</dc:creator>
  <dc:description/>
  <dc:language>pt-BR</dc:language>
  <cp:lastModifiedBy>Douglas Alves Souza</cp:lastModifiedBy>
  <dcterms:modified xsi:type="dcterms:W3CDTF">2020-12-04T15:35:12Z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